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9B2D1" w14:textId="4796D420" w:rsidR="009E0097" w:rsidRPr="00227A2E" w:rsidRDefault="009E0097" w:rsidP="009E0097">
      <w:pPr>
        <w:pStyle w:val="Default"/>
        <w:rPr>
          <w:iCs/>
          <w:sz w:val="20"/>
          <w:szCs w:val="20"/>
          <w:u w:val="single"/>
        </w:rPr>
      </w:pPr>
      <w:bookmarkStart w:id="0" w:name="_Hlk21943408"/>
      <w:r w:rsidRPr="00227A2E">
        <w:rPr>
          <w:iCs/>
          <w:sz w:val="20"/>
          <w:szCs w:val="20"/>
          <w:u w:val="single"/>
        </w:rPr>
        <w:t xml:space="preserve">The importance for the IP sector </w:t>
      </w:r>
      <w:r w:rsidR="002E007E" w:rsidRPr="00227A2E">
        <w:rPr>
          <w:iCs/>
          <w:sz w:val="20"/>
          <w:szCs w:val="20"/>
          <w:u w:val="single"/>
        </w:rPr>
        <w:t xml:space="preserve">in </w:t>
      </w:r>
      <w:r w:rsidRPr="00227A2E">
        <w:rPr>
          <w:iCs/>
          <w:sz w:val="20"/>
          <w:szCs w:val="20"/>
          <w:u w:val="single"/>
        </w:rPr>
        <w:t>Brexit</w:t>
      </w:r>
      <w:r w:rsidR="002E007E" w:rsidRPr="00227A2E">
        <w:rPr>
          <w:iCs/>
          <w:sz w:val="20"/>
          <w:szCs w:val="20"/>
          <w:u w:val="single"/>
        </w:rPr>
        <w:t xml:space="preserve"> negotiations and beyond</w:t>
      </w:r>
    </w:p>
    <w:p w14:paraId="318DBE8A" w14:textId="77777777" w:rsidR="009E0097" w:rsidRPr="00227A2E" w:rsidRDefault="009E0097" w:rsidP="009E0097">
      <w:pPr>
        <w:pStyle w:val="Default"/>
        <w:rPr>
          <w:sz w:val="20"/>
          <w:szCs w:val="20"/>
        </w:rPr>
      </w:pPr>
    </w:p>
    <w:p w14:paraId="25D379F8" w14:textId="71F05317" w:rsidR="009E0097" w:rsidRPr="00227A2E" w:rsidRDefault="009E0097" w:rsidP="009E0097">
      <w:pPr>
        <w:pStyle w:val="Default"/>
        <w:rPr>
          <w:iCs/>
          <w:sz w:val="20"/>
          <w:szCs w:val="20"/>
        </w:rPr>
      </w:pPr>
      <w:r w:rsidRPr="00227A2E">
        <w:rPr>
          <w:iCs/>
          <w:sz w:val="20"/>
          <w:szCs w:val="20"/>
        </w:rPr>
        <w:t xml:space="preserve">We are the heads of </w:t>
      </w:r>
      <w:r w:rsidR="00BC68FA">
        <w:rPr>
          <w:iCs/>
          <w:sz w:val="20"/>
          <w:szCs w:val="20"/>
        </w:rPr>
        <w:t xml:space="preserve">UK </w:t>
      </w:r>
      <w:r w:rsidRPr="00227A2E">
        <w:rPr>
          <w:iCs/>
          <w:sz w:val="20"/>
          <w:szCs w:val="20"/>
        </w:rPr>
        <w:t>representative bodies in the intellectual property sector, including significant users of the IP system</w:t>
      </w:r>
      <w:r w:rsidR="0087384C" w:rsidRPr="00227A2E">
        <w:rPr>
          <w:iCs/>
          <w:sz w:val="20"/>
          <w:szCs w:val="20"/>
        </w:rPr>
        <w:t xml:space="preserve"> and those working in the field of protection of IP rights</w:t>
      </w:r>
      <w:r w:rsidR="002E007E" w:rsidRPr="00227A2E">
        <w:rPr>
          <w:iCs/>
          <w:sz w:val="20"/>
          <w:szCs w:val="20"/>
        </w:rPr>
        <w:t>.</w:t>
      </w:r>
    </w:p>
    <w:p w14:paraId="195D9821" w14:textId="77777777" w:rsidR="00B26BE9" w:rsidRPr="00227A2E" w:rsidRDefault="00B26BE9" w:rsidP="009E0097">
      <w:pPr>
        <w:pStyle w:val="Default"/>
        <w:rPr>
          <w:iCs/>
          <w:sz w:val="20"/>
          <w:szCs w:val="20"/>
        </w:rPr>
      </w:pPr>
    </w:p>
    <w:p w14:paraId="36A1F657" w14:textId="0A9ADC5A" w:rsidR="00B26BE9" w:rsidRPr="00227A2E" w:rsidRDefault="00B26BE9" w:rsidP="009E0097">
      <w:pPr>
        <w:pStyle w:val="Default"/>
        <w:rPr>
          <w:b/>
          <w:iCs/>
          <w:sz w:val="20"/>
          <w:szCs w:val="20"/>
        </w:rPr>
      </w:pPr>
      <w:r w:rsidRPr="00227A2E">
        <w:rPr>
          <w:b/>
          <w:iCs/>
          <w:sz w:val="20"/>
          <w:szCs w:val="20"/>
        </w:rPr>
        <w:t>Background</w:t>
      </w:r>
    </w:p>
    <w:p w14:paraId="3CFADDA9" w14:textId="77777777" w:rsidR="009E0097" w:rsidRPr="00227A2E" w:rsidRDefault="009E0097" w:rsidP="009E0097">
      <w:pPr>
        <w:pStyle w:val="Default"/>
        <w:rPr>
          <w:sz w:val="20"/>
          <w:szCs w:val="20"/>
        </w:rPr>
      </w:pPr>
      <w:r w:rsidRPr="00227A2E">
        <w:rPr>
          <w:iCs/>
          <w:sz w:val="20"/>
          <w:szCs w:val="20"/>
        </w:rPr>
        <w:t xml:space="preserve"> </w:t>
      </w:r>
      <w:bookmarkStart w:id="1" w:name="_GoBack"/>
      <w:bookmarkEnd w:id="1"/>
    </w:p>
    <w:p w14:paraId="10DD244C" w14:textId="44A51A18" w:rsidR="00B26BE9" w:rsidRPr="00227A2E" w:rsidRDefault="009E0097" w:rsidP="009E0097">
      <w:pPr>
        <w:pStyle w:val="Default"/>
        <w:rPr>
          <w:iCs/>
          <w:sz w:val="20"/>
          <w:szCs w:val="20"/>
        </w:rPr>
      </w:pPr>
      <w:r w:rsidRPr="00227A2E">
        <w:rPr>
          <w:iCs/>
          <w:sz w:val="20"/>
          <w:szCs w:val="20"/>
        </w:rPr>
        <w:t>The United Kingdom currently has a world</w:t>
      </w:r>
      <w:r w:rsidR="00B26BE9" w:rsidRPr="00227A2E">
        <w:rPr>
          <w:iCs/>
          <w:sz w:val="20"/>
          <w:szCs w:val="20"/>
        </w:rPr>
        <w:t>-</w:t>
      </w:r>
      <w:r w:rsidRPr="00227A2E">
        <w:rPr>
          <w:iCs/>
          <w:sz w:val="20"/>
          <w:szCs w:val="20"/>
        </w:rPr>
        <w:t xml:space="preserve">class IP system. </w:t>
      </w:r>
      <w:r w:rsidR="00FC2D6F" w:rsidRPr="00227A2E">
        <w:rPr>
          <w:iCs/>
          <w:sz w:val="20"/>
          <w:szCs w:val="20"/>
        </w:rPr>
        <w:t xml:space="preserve">As a result, </w:t>
      </w:r>
      <w:r w:rsidR="003928E0">
        <w:rPr>
          <w:iCs/>
          <w:sz w:val="20"/>
          <w:szCs w:val="20"/>
        </w:rPr>
        <w:t>t</w:t>
      </w:r>
      <w:r w:rsidRPr="00227A2E">
        <w:rPr>
          <w:iCs/>
          <w:sz w:val="20"/>
          <w:szCs w:val="20"/>
        </w:rPr>
        <w:t xml:space="preserve">he country has enjoyed </w:t>
      </w:r>
      <w:r w:rsidR="00FC2D6F" w:rsidRPr="00227A2E">
        <w:rPr>
          <w:iCs/>
          <w:sz w:val="20"/>
          <w:szCs w:val="20"/>
        </w:rPr>
        <w:t>huge benefits</w:t>
      </w:r>
      <w:r w:rsidR="00B26BE9" w:rsidRPr="00227A2E">
        <w:rPr>
          <w:iCs/>
          <w:sz w:val="20"/>
          <w:szCs w:val="20"/>
        </w:rPr>
        <w:t>. It has had</w:t>
      </w:r>
      <w:r w:rsidR="00FC2D6F" w:rsidRPr="00227A2E">
        <w:rPr>
          <w:iCs/>
          <w:sz w:val="20"/>
          <w:szCs w:val="20"/>
        </w:rPr>
        <w:t xml:space="preserve"> </w:t>
      </w:r>
      <w:r w:rsidRPr="00227A2E">
        <w:rPr>
          <w:iCs/>
          <w:sz w:val="20"/>
          <w:szCs w:val="20"/>
        </w:rPr>
        <w:t xml:space="preserve">wide influence in shaping intellectual property law internationally, including in Europe, through the EU and otherwise. </w:t>
      </w:r>
    </w:p>
    <w:p w14:paraId="63AEF9D1" w14:textId="77777777" w:rsidR="00B26BE9" w:rsidRPr="00227A2E" w:rsidRDefault="00B26BE9" w:rsidP="009E0097">
      <w:pPr>
        <w:pStyle w:val="Default"/>
        <w:rPr>
          <w:iCs/>
          <w:sz w:val="20"/>
          <w:szCs w:val="20"/>
        </w:rPr>
      </w:pPr>
    </w:p>
    <w:p w14:paraId="1F108932" w14:textId="07BE2F98" w:rsidR="00B26BE9" w:rsidRPr="00227A2E" w:rsidRDefault="009E0097" w:rsidP="009E0097">
      <w:pPr>
        <w:pStyle w:val="Default"/>
        <w:rPr>
          <w:iCs/>
          <w:sz w:val="20"/>
          <w:szCs w:val="20"/>
        </w:rPr>
      </w:pPr>
      <w:r w:rsidRPr="00227A2E">
        <w:rPr>
          <w:iCs/>
          <w:sz w:val="20"/>
          <w:szCs w:val="20"/>
        </w:rPr>
        <w:t>The overwhelming view of users and professionals is that it is desirable to maintain as much as possible of the existing system</w:t>
      </w:r>
      <w:r w:rsidR="00B26BE9" w:rsidRPr="00227A2E">
        <w:rPr>
          <w:iCs/>
          <w:sz w:val="20"/>
          <w:szCs w:val="20"/>
        </w:rPr>
        <w:t>. This</w:t>
      </w:r>
      <w:r w:rsidRPr="00227A2E">
        <w:rPr>
          <w:iCs/>
          <w:sz w:val="20"/>
          <w:szCs w:val="20"/>
        </w:rPr>
        <w:t xml:space="preserve"> provides significant </w:t>
      </w:r>
      <w:r w:rsidR="0066686F" w:rsidRPr="00227A2E">
        <w:rPr>
          <w:iCs/>
          <w:sz w:val="20"/>
          <w:szCs w:val="20"/>
        </w:rPr>
        <w:t>advantages</w:t>
      </w:r>
      <w:r w:rsidR="001C7759" w:rsidRPr="00227A2E">
        <w:rPr>
          <w:iCs/>
          <w:sz w:val="20"/>
          <w:szCs w:val="20"/>
        </w:rPr>
        <w:t xml:space="preserve"> </w:t>
      </w:r>
      <w:r w:rsidR="0066686F" w:rsidRPr="00227A2E">
        <w:rPr>
          <w:iCs/>
          <w:sz w:val="20"/>
          <w:szCs w:val="20"/>
        </w:rPr>
        <w:t>to</w:t>
      </w:r>
      <w:r w:rsidRPr="00227A2E">
        <w:rPr>
          <w:iCs/>
          <w:sz w:val="20"/>
          <w:szCs w:val="20"/>
        </w:rPr>
        <w:t xml:space="preserve"> </w:t>
      </w:r>
      <w:r w:rsidR="00FC2D6F" w:rsidRPr="00227A2E">
        <w:rPr>
          <w:iCs/>
          <w:sz w:val="20"/>
          <w:szCs w:val="20"/>
        </w:rPr>
        <w:t xml:space="preserve">British </w:t>
      </w:r>
      <w:r w:rsidRPr="00227A2E">
        <w:rPr>
          <w:iCs/>
          <w:sz w:val="20"/>
          <w:szCs w:val="20"/>
        </w:rPr>
        <w:t xml:space="preserve">industry and commerce. </w:t>
      </w:r>
    </w:p>
    <w:p w14:paraId="42771104" w14:textId="77777777" w:rsidR="00B26BE9" w:rsidRPr="00227A2E" w:rsidRDefault="00B26BE9" w:rsidP="009E0097">
      <w:pPr>
        <w:pStyle w:val="Default"/>
        <w:rPr>
          <w:iCs/>
          <w:sz w:val="20"/>
          <w:szCs w:val="20"/>
        </w:rPr>
      </w:pPr>
    </w:p>
    <w:p w14:paraId="7F166991" w14:textId="3F2B7892" w:rsidR="009E0097" w:rsidRPr="00227A2E" w:rsidRDefault="009E0097" w:rsidP="009E0097">
      <w:pPr>
        <w:pStyle w:val="Default"/>
        <w:rPr>
          <w:iCs/>
          <w:sz w:val="20"/>
          <w:szCs w:val="20"/>
        </w:rPr>
      </w:pPr>
      <w:r w:rsidRPr="00227A2E">
        <w:rPr>
          <w:iCs/>
          <w:sz w:val="20"/>
          <w:szCs w:val="20"/>
        </w:rPr>
        <w:t xml:space="preserve">Intellectual property law and procedure is a technical area in which there are no real </w:t>
      </w:r>
      <w:r w:rsidR="0066686F" w:rsidRPr="00227A2E">
        <w:rPr>
          <w:iCs/>
          <w:sz w:val="20"/>
          <w:szCs w:val="20"/>
        </w:rPr>
        <w:t xml:space="preserve">benefits </w:t>
      </w:r>
      <w:r w:rsidRPr="00227A2E">
        <w:rPr>
          <w:iCs/>
          <w:sz w:val="20"/>
          <w:szCs w:val="20"/>
        </w:rPr>
        <w:t>in regulatory divergence. To the contrary, there are clear disadvantages.</w:t>
      </w:r>
      <w:r w:rsidR="006B5DA5">
        <w:rPr>
          <w:iCs/>
          <w:sz w:val="20"/>
          <w:szCs w:val="20"/>
        </w:rPr>
        <w:t xml:space="preserve"> </w:t>
      </w:r>
      <w:r w:rsidRPr="00227A2E">
        <w:rPr>
          <w:iCs/>
          <w:sz w:val="20"/>
          <w:szCs w:val="20"/>
        </w:rPr>
        <w:t xml:space="preserve">Moreover IP law does not stand alone but is linked with other areas such as competition law, </w:t>
      </w:r>
      <w:r w:rsidR="0066686F" w:rsidRPr="00227A2E">
        <w:rPr>
          <w:iCs/>
          <w:sz w:val="20"/>
          <w:szCs w:val="20"/>
        </w:rPr>
        <w:t xml:space="preserve">product </w:t>
      </w:r>
      <w:r w:rsidRPr="00227A2E">
        <w:rPr>
          <w:iCs/>
          <w:sz w:val="20"/>
          <w:szCs w:val="20"/>
        </w:rPr>
        <w:t>regulat</w:t>
      </w:r>
      <w:r w:rsidR="0066686F" w:rsidRPr="00227A2E">
        <w:rPr>
          <w:iCs/>
          <w:sz w:val="20"/>
          <w:szCs w:val="20"/>
        </w:rPr>
        <w:t>ion</w:t>
      </w:r>
      <w:r w:rsidRPr="00227A2E">
        <w:rPr>
          <w:iCs/>
          <w:sz w:val="20"/>
          <w:szCs w:val="20"/>
        </w:rPr>
        <w:t xml:space="preserve"> and provisions on enforcement of judgments.</w:t>
      </w:r>
      <w:r w:rsidR="006B5DA5">
        <w:rPr>
          <w:iCs/>
          <w:sz w:val="20"/>
          <w:szCs w:val="20"/>
        </w:rPr>
        <w:t xml:space="preserve"> </w:t>
      </w:r>
      <w:r w:rsidRPr="00227A2E">
        <w:rPr>
          <w:iCs/>
          <w:sz w:val="20"/>
          <w:szCs w:val="20"/>
        </w:rPr>
        <w:t>Careful consideration must also be given to these areas, including the UK’s international obligations.</w:t>
      </w:r>
    </w:p>
    <w:p w14:paraId="4D869E02" w14:textId="77777777" w:rsidR="00B26BE9" w:rsidRPr="00227A2E" w:rsidRDefault="00B26BE9" w:rsidP="009E0097">
      <w:pPr>
        <w:pStyle w:val="Default"/>
        <w:rPr>
          <w:iCs/>
          <w:sz w:val="20"/>
          <w:szCs w:val="20"/>
        </w:rPr>
      </w:pPr>
    </w:p>
    <w:p w14:paraId="40688A51" w14:textId="569F528D" w:rsidR="00B26BE9" w:rsidRPr="00227A2E" w:rsidRDefault="00B26BE9" w:rsidP="009E0097">
      <w:pPr>
        <w:pStyle w:val="Default"/>
        <w:rPr>
          <w:b/>
          <w:iCs/>
          <w:sz w:val="20"/>
          <w:szCs w:val="20"/>
        </w:rPr>
      </w:pPr>
      <w:r w:rsidRPr="00227A2E">
        <w:rPr>
          <w:b/>
          <w:iCs/>
          <w:sz w:val="20"/>
          <w:szCs w:val="20"/>
        </w:rPr>
        <w:t>Critical objectives</w:t>
      </w:r>
    </w:p>
    <w:p w14:paraId="19DCE354" w14:textId="77777777" w:rsidR="009E0097" w:rsidRPr="00227A2E" w:rsidRDefault="009E0097" w:rsidP="009E0097">
      <w:pPr>
        <w:pStyle w:val="Default"/>
        <w:rPr>
          <w:sz w:val="20"/>
          <w:szCs w:val="20"/>
        </w:rPr>
      </w:pPr>
      <w:r w:rsidRPr="00227A2E">
        <w:rPr>
          <w:iCs/>
          <w:sz w:val="20"/>
          <w:szCs w:val="20"/>
        </w:rPr>
        <w:t xml:space="preserve"> </w:t>
      </w:r>
    </w:p>
    <w:p w14:paraId="4A09C689" w14:textId="5006BB38" w:rsidR="009E0097" w:rsidRPr="00227A2E" w:rsidRDefault="009E0097" w:rsidP="009E0097">
      <w:pPr>
        <w:pStyle w:val="Default"/>
        <w:rPr>
          <w:sz w:val="20"/>
          <w:szCs w:val="20"/>
        </w:rPr>
      </w:pPr>
      <w:r w:rsidRPr="00227A2E">
        <w:rPr>
          <w:iCs/>
          <w:sz w:val="20"/>
          <w:szCs w:val="20"/>
        </w:rPr>
        <w:t xml:space="preserve">We invite the Government to bear in mind three main points at this critical moment. </w:t>
      </w:r>
    </w:p>
    <w:p w14:paraId="7412585F" w14:textId="77777777" w:rsidR="009E0097" w:rsidRPr="00227A2E" w:rsidRDefault="009E0097" w:rsidP="009E0097">
      <w:pPr>
        <w:pStyle w:val="Default"/>
        <w:rPr>
          <w:iCs/>
          <w:sz w:val="20"/>
          <w:szCs w:val="20"/>
        </w:rPr>
      </w:pPr>
    </w:p>
    <w:p w14:paraId="7ED53636" w14:textId="01BD4FF6" w:rsidR="009E0097" w:rsidRPr="00227A2E" w:rsidRDefault="009E0097" w:rsidP="009E0097">
      <w:pPr>
        <w:pStyle w:val="Default"/>
        <w:rPr>
          <w:iCs/>
          <w:sz w:val="20"/>
          <w:szCs w:val="20"/>
        </w:rPr>
      </w:pPr>
      <w:r w:rsidRPr="00227A2E">
        <w:rPr>
          <w:iCs/>
          <w:sz w:val="20"/>
          <w:szCs w:val="20"/>
        </w:rPr>
        <w:t>First, the United Kingdom should have as its overriding priority in this area</w:t>
      </w:r>
      <w:r w:rsidR="00FC2D6F" w:rsidRPr="00227A2E">
        <w:rPr>
          <w:iCs/>
          <w:sz w:val="20"/>
          <w:szCs w:val="20"/>
        </w:rPr>
        <w:t xml:space="preserve"> the preservation of </w:t>
      </w:r>
      <w:r w:rsidRPr="00227A2E">
        <w:rPr>
          <w:iCs/>
          <w:sz w:val="20"/>
          <w:szCs w:val="20"/>
        </w:rPr>
        <w:t xml:space="preserve">substantive and procedural rights. Loss of rights for UK undertakings which would result from a “No Deal” Brexit would be damaging in the short and longer term. The Government has received </w:t>
      </w:r>
      <w:r w:rsidR="00B26BE9" w:rsidRPr="00227A2E">
        <w:rPr>
          <w:iCs/>
          <w:sz w:val="20"/>
          <w:szCs w:val="20"/>
        </w:rPr>
        <w:t xml:space="preserve">repeated </w:t>
      </w:r>
      <w:r w:rsidRPr="00227A2E">
        <w:rPr>
          <w:iCs/>
          <w:sz w:val="20"/>
          <w:szCs w:val="20"/>
        </w:rPr>
        <w:t>submissions as to the importance of avoiding th</w:t>
      </w:r>
      <w:r w:rsidR="00B26BE9" w:rsidRPr="00227A2E">
        <w:rPr>
          <w:iCs/>
          <w:sz w:val="20"/>
          <w:szCs w:val="20"/>
        </w:rPr>
        <w:t>is risk.</w:t>
      </w:r>
      <w:r w:rsidR="003928E0">
        <w:rPr>
          <w:iCs/>
          <w:sz w:val="20"/>
          <w:szCs w:val="20"/>
        </w:rPr>
        <w:t xml:space="preserve">  </w:t>
      </w:r>
      <w:r w:rsidRPr="00227A2E">
        <w:rPr>
          <w:iCs/>
          <w:sz w:val="20"/>
          <w:szCs w:val="20"/>
        </w:rPr>
        <w:t xml:space="preserve">No-one wants to see this happen and, were the </w:t>
      </w:r>
      <w:r w:rsidR="00B26BE9" w:rsidRPr="00227A2E">
        <w:rPr>
          <w:iCs/>
          <w:sz w:val="20"/>
          <w:szCs w:val="20"/>
        </w:rPr>
        <w:t xml:space="preserve">outcome of the </w:t>
      </w:r>
      <w:r w:rsidRPr="00227A2E">
        <w:rPr>
          <w:iCs/>
          <w:sz w:val="20"/>
          <w:szCs w:val="20"/>
        </w:rPr>
        <w:t>Government</w:t>
      </w:r>
      <w:r w:rsidR="00FC2D6F" w:rsidRPr="00227A2E">
        <w:rPr>
          <w:iCs/>
          <w:sz w:val="20"/>
          <w:szCs w:val="20"/>
        </w:rPr>
        <w:t>’s negotiations with the EU</w:t>
      </w:r>
      <w:r w:rsidRPr="00227A2E">
        <w:rPr>
          <w:iCs/>
          <w:sz w:val="20"/>
          <w:szCs w:val="20"/>
        </w:rPr>
        <w:t xml:space="preserve"> to put these in jeopardy, it would </w:t>
      </w:r>
      <w:r w:rsidR="00FC2D6F" w:rsidRPr="00227A2E">
        <w:rPr>
          <w:iCs/>
          <w:sz w:val="20"/>
          <w:szCs w:val="20"/>
        </w:rPr>
        <w:t xml:space="preserve">imperil </w:t>
      </w:r>
      <w:r w:rsidRPr="00227A2E">
        <w:rPr>
          <w:iCs/>
          <w:sz w:val="20"/>
          <w:szCs w:val="20"/>
        </w:rPr>
        <w:t xml:space="preserve">the United Kingdom’s position as a world leader in creative and technical industries which it currently enjoys. This is likely to have </w:t>
      </w:r>
      <w:r w:rsidR="00522B64">
        <w:rPr>
          <w:iCs/>
          <w:sz w:val="20"/>
          <w:szCs w:val="20"/>
        </w:rPr>
        <w:t xml:space="preserve">a </w:t>
      </w:r>
      <w:r w:rsidRPr="00227A2E">
        <w:rPr>
          <w:iCs/>
          <w:sz w:val="20"/>
          <w:szCs w:val="20"/>
        </w:rPr>
        <w:t>wider and longer term impact on its highly productive innovative and service sector</w:t>
      </w:r>
      <w:r w:rsidR="002E007E" w:rsidRPr="00227A2E">
        <w:rPr>
          <w:iCs/>
          <w:sz w:val="20"/>
          <w:szCs w:val="20"/>
        </w:rPr>
        <w:t xml:space="preserve">, and would negatively affect the Government’s </w:t>
      </w:r>
      <w:r w:rsidR="00B26BE9" w:rsidRPr="00227A2E">
        <w:rPr>
          <w:iCs/>
          <w:sz w:val="20"/>
          <w:szCs w:val="20"/>
        </w:rPr>
        <w:t>industrial strategy.</w:t>
      </w:r>
    </w:p>
    <w:p w14:paraId="548D9FA4" w14:textId="77777777" w:rsidR="009E0097" w:rsidRPr="00227A2E" w:rsidRDefault="009E0097" w:rsidP="009E0097">
      <w:pPr>
        <w:pStyle w:val="Default"/>
        <w:rPr>
          <w:sz w:val="20"/>
          <w:szCs w:val="20"/>
        </w:rPr>
      </w:pPr>
    </w:p>
    <w:p w14:paraId="58323151" w14:textId="56B13874" w:rsidR="009E0097" w:rsidRPr="00227A2E" w:rsidRDefault="009E0097" w:rsidP="009E0097">
      <w:pPr>
        <w:pStyle w:val="Default"/>
        <w:rPr>
          <w:iCs/>
          <w:sz w:val="20"/>
          <w:szCs w:val="20"/>
        </w:rPr>
      </w:pPr>
      <w:r w:rsidRPr="00227A2E">
        <w:rPr>
          <w:iCs/>
          <w:sz w:val="20"/>
          <w:szCs w:val="20"/>
        </w:rPr>
        <w:t>Second, the United Kingdom and the EU have negotiated detailed provisions for the transitional continuation of substantive and procedural rights relating to intellectual property in the draft Withdrawal Agreement. These provide,</w:t>
      </w:r>
      <w:r w:rsidR="006B5DA5">
        <w:rPr>
          <w:iCs/>
          <w:sz w:val="20"/>
          <w:szCs w:val="20"/>
        </w:rPr>
        <w:t xml:space="preserve"> </w:t>
      </w:r>
      <w:r w:rsidRPr="00227A2E">
        <w:rPr>
          <w:iCs/>
          <w:sz w:val="20"/>
          <w:szCs w:val="20"/>
        </w:rPr>
        <w:t xml:space="preserve">as a whole, for reasonable continuity and certainty for the transitional period, including with respect to rights of representation. In contrast, the Government and EU’s “No Deal” preparations for the IP Sector are incomplete and create uncertainty. They do not </w:t>
      </w:r>
      <w:r w:rsidR="005F03EB" w:rsidRPr="00227A2E">
        <w:rPr>
          <w:iCs/>
          <w:sz w:val="20"/>
          <w:szCs w:val="20"/>
        </w:rPr>
        <w:t xml:space="preserve">assure that </w:t>
      </w:r>
      <w:r w:rsidRPr="00227A2E">
        <w:rPr>
          <w:iCs/>
          <w:sz w:val="20"/>
          <w:szCs w:val="20"/>
        </w:rPr>
        <w:t xml:space="preserve">the EU institutions </w:t>
      </w:r>
      <w:r w:rsidR="005F03EB" w:rsidRPr="00227A2E">
        <w:rPr>
          <w:iCs/>
          <w:sz w:val="20"/>
          <w:szCs w:val="20"/>
        </w:rPr>
        <w:t xml:space="preserve">will </w:t>
      </w:r>
      <w:r w:rsidRPr="00227A2E">
        <w:rPr>
          <w:iCs/>
          <w:sz w:val="20"/>
          <w:szCs w:val="20"/>
        </w:rPr>
        <w:t>guarantee continuation of relevant rights of UK undertakings, particularly with respect to procedural rights</w:t>
      </w:r>
      <w:r w:rsidR="00B26BE9" w:rsidRPr="00227A2E">
        <w:rPr>
          <w:iCs/>
          <w:sz w:val="20"/>
          <w:szCs w:val="20"/>
        </w:rPr>
        <w:t>. The</w:t>
      </w:r>
      <w:r w:rsidRPr="00227A2E">
        <w:rPr>
          <w:iCs/>
          <w:sz w:val="20"/>
          <w:szCs w:val="20"/>
        </w:rPr>
        <w:t xml:space="preserve"> transitional provisions in relation to representation</w:t>
      </w:r>
      <w:r w:rsidR="00B26BE9" w:rsidRPr="00227A2E">
        <w:rPr>
          <w:iCs/>
          <w:sz w:val="20"/>
          <w:szCs w:val="20"/>
        </w:rPr>
        <w:t xml:space="preserve"> </w:t>
      </w:r>
      <w:r w:rsidRPr="00227A2E">
        <w:rPr>
          <w:iCs/>
          <w:sz w:val="20"/>
          <w:szCs w:val="20"/>
        </w:rPr>
        <w:t>create asymmetries of protection to the detriment of UK undertakings.</w:t>
      </w:r>
    </w:p>
    <w:p w14:paraId="189AC8FE" w14:textId="77777777" w:rsidR="009E0097" w:rsidRPr="00227A2E" w:rsidRDefault="009E0097" w:rsidP="009E0097">
      <w:pPr>
        <w:pStyle w:val="Default"/>
        <w:rPr>
          <w:sz w:val="20"/>
          <w:szCs w:val="20"/>
        </w:rPr>
      </w:pPr>
      <w:r w:rsidRPr="00227A2E">
        <w:rPr>
          <w:iCs/>
          <w:sz w:val="20"/>
          <w:szCs w:val="20"/>
        </w:rPr>
        <w:t xml:space="preserve"> </w:t>
      </w:r>
    </w:p>
    <w:p w14:paraId="23DE7834" w14:textId="48B6DCA3" w:rsidR="00B26BE9" w:rsidRPr="00227A2E" w:rsidRDefault="009E0097" w:rsidP="009E0097">
      <w:pPr>
        <w:pStyle w:val="Default"/>
        <w:rPr>
          <w:iCs/>
          <w:sz w:val="20"/>
          <w:szCs w:val="20"/>
        </w:rPr>
      </w:pPr>
      <w:r w:rsidRPr="00227A2E">
        <w:rPr>
          <w:iCs/>
          <w:sz w:val="20"/>
          <w:szCs w:val="20"/>
        </w:rPr>
        <w:t>Moreover, the body of existing EU legislation governing allocation of law and jurisdiction and dealing with the recognition and enforcement of judgments forms an important part of the IP system. The preservation of that body of law is important for the IP sector, as for many others.</w:t>
      </w:r>
    </w:p>
    <w:p w14:paraId="051D8694" w14:textId="28B62DE5" w:rsidR="009E0097" w:rsidRPr="00227A2E" w:rsidRDefault="009E0097" w:rsidP="009E0097">
      <w:pPr>
        <w:pStyle w:val="Default"/>
        <w:rPr>
          <w:sz w:val="20"/>
          <w:szCs w:val="20"/>
        </w:rPr>
      </w:pPr>
      <w:r w:rsidRPr="00227A2E">
        <w:rPr>
          <w:iCs/>
          <w:sz w:val="20"/>
          <w:szCs w:val="20"/>
        </w:rPr>
        <w:t xml:space="preserve"> </w:t>
      </w:r>
    </w:p>
    <w:p w14:paraId="58C0881F" w14:textId="2A3B421E" w:rsidR="009E0097" w:rsidRPr="00227A2E" w:rsidRDefault="009E0097" w:rsidP="009E0097">
      <w:pPr>
        <w:pStyle w:val="Default"/>
        <w:rPr>
          <w:iCs/>
          <w:sz w:val="20"/>
          <w:szCs w:val="20"/>
        </w:rPr>
      </w:pPr>
      <w:r w:rsidRPr="00227A2E">
        <w:rPr>
          <w:iCs/>
          <w:sz w:val="20"/>
          <w:szCs w:val="20"/>
        </w:rPr>
        <w:t>It is vital in the interests of the United Kingdom and its IP sector that, as a minimum, the provisions in the Withdrawal Agreement relating to the interim continuation of substantive and procedural rights are made effective upon Brexit. Failure to secure this is likely to have a serious adverse impact on economic activities which the Government should be particularly concerned to protect.</w:t>
      </w:r>
    </w:p>
    <w:p w14:paraId="6D32FB7B" w14:textId="77777777" w:rsidR="009E0097" w:rsidRPr="00227A2E" w:rsidRDefault="009E0097" w:rsidP="009E0097">
      <w:pPr>
        <w:pStyle w:val="Default"/>
        <w:rPr>
          <w:sz w:val="20"/>
          <w:szCs w:val="20"/>
        </w:rPr>
      </w:pPr>
      <w:r w:rsidRPr="00227A2E">
        <w:rPr>
          <w:iCs/>
          <w:sz w:val="20"/>
          <w:szCs w:val="20"/>
        </w:rPr>
        <w:t xml:space="preserve"> </w:t>
      </w:r>
    </w:p>
    <w:p w14:paraId="57E67EF0" w14:textId="5C9683F0" w:rsidR="009E0097" w:rsidRPr="00227A2E" w:rsidRDefault="009E0097" w:rsidP="009E0097">
      <w:pPr>
        <w:pStyle w:val="Default"/>
        <w:rPr>
          <w:iCs/>
          <w:sz w:val="20"/>
          <w:szCs w:val="20"/>
        </w:rPr>
      </w:pPr>
      <w:r w:rsidRPr="00227A2E">
        <w:rPr>
          <w:iCs/>
          <w:sz w:val="20"/>
          <w:szCs w:val="20"/>
        </w:rPr>
        <w:t>Third, when negotiating future trading arrangements affect</w:t>
      </w:r>
      <w:r w:rsidR="00B26BE9" w:rsidRPr="00227A2E">
        <w:rPr>
          <w:iCs/>
          <w:sz w:val="20"/>
          <w:szCs w:val="20"/>
        </w:rPr>
        <w:t>ing</w:t>
      </w:r>
      <w:r w:rsidRPr="00227A2E">
        <w:rPr>
          <w:iCs/>
          <w:sz w:val="20"/>
          <w:szCs w:val="20"/>
        </w:rPr>
        <w:t xml:space="preserve"> intellectual property rights, the Government should respect the United Kingdom’s existing domestic and non-EU international laws and obligations, including the Patents Act 1977 which gives effect to the </w:t>
      </w:r>
      <w:r w:rsidR="00B26BE9" w:rsidRPr="00227A2E">
        <w:rPr>
          <w:iCs/>
          <w:sz w:val="20"/>
          <w:szCs w:val="20"/>
        </w:rPr>
        <w:t xml:space="preserve">(non-EU) </w:t>
      </w:r>
      <w:r w:rsidRPr="00227A2E">
        <w:rPr>
          <w:iCs/>
          <w:sz w:val="20"/>
          <w:szCs w:val="20"/>
        </w:rPr>
        <w:t>European Patent Convention. If any changes are contemplated, the Government should publish draft proposals with reasons and should consult fully before pursuing them.</w:t>
      </w:r>
    </w:p>
    <w:p w14:paraId="72042B01" w14:textId="77777777" w:rsidR="00B26BE9" w:rsidRPr="00227A2E" w:rsidRDefault="00B26BE9" w:rsidP="009E0097">
      <w:pPr>
        <w:pStyle w:val="Default"/>
        <w:rPr>
          <w:iCs/>
          <w:sz w:val="20"/>
          <w:szCs w:val="20"/>
        </w:rPr>
      </w:pPr>
    </w:p>
    <w:p w14:paraId="5382733A" w14:textId="77777777" w:rsidR="00070E50" w:rsidRDefault="00070E50" w:rsidP="009E0097">
      <w:pPr>
        <w:pStyle w:val="Default"/>
        <w:rPr>
          <w:b/>
          <w:iCs/>
          <w:sz w:val="20"/>
          <w:szCs w:val="20"/>
        </w:rPr>
      </w:pPr>
    </w:p>
    <w:p w14:paraId="54C9072C" w14:textId="77777777" w:rsidR="00070E50" w:rsidRDefault="00070E50" w:rsidP="009E0097">
      <w:pPr>
        <w:pStyle w:val="Default"/>
        <w:rPr>
          <w:b/>
          <w:iCs/>
          <w:sz w:val="20"/>
          <w:szCs w:val="20"/>
        </w:rPr>
      </w:pPr>
    </w:p>
    <w:p w14:paraId="24F2BC0D" w14:textId="4E8B65B1" w:rsidR="00B26BE9" w:rsidRPr="00227A2E" w:rsidRDefault="00B26BE9" w:rsidP="009E0097">
      <w:pPr>
        <w:pStyle w:val="Default"/>
        <w:rPr>
          <w:b/>
          <w:iCs/>
          <w:sz w:val="20"/>
          <w:szCs w:val="20"/>
        </w:rPr>
      </w:pPr>
      <w:r w:rsidRPr="00227A2E">
        <w:rPr>
          <w:b/>
          <w:iCs/>
          <w:sz w:val="20"/>
          <w:szCs w:val="20"/>
        </w:rPr>
        <w:lastRenderedPageBreak/>
        <w:t>Continued engagement</w:t>
      </w:r>
    </w:p>
    <w:p w14:paraId="40A0B4B3" w14:textId="77777777" w:rsidR="009E0097" w:rsidRPr="00227A2E" w:rsidRDefault="009E0097" w:rsidP="009E0097">
      <w:pPr>
        <w:pStyle w:val="Default"/>
        <w:rPr>
          <w:sz w:val="20"/>
          <w:szCs w:val="20"/>
        </w:rPr>
      </w:pPr>
    </w:p>
    <w:p w14:paraId="0C076D2E" w14:textId="1550755E" w:rsidR="00B26BE9" w:rsidRPr="00227A2E" w:rsidRDefault="00FC2D6F" w:rsidP="009E0097">
      <w:pPr>
        <w:jc w:val="left"/>
        <w:rPr>
          <w:iCs/>
          <w:sz w:val="20"/>
          <w:szCs w:val="20"/>
        </w:rPr>
      </w:pPr>
      <w:r w:rsidRPr="00227A2E">
        <w:rPr>
          <w:iCs/>
          <w:sz w:val="20"/>
          <w:szCs w:val="20"/>
        </w:rPr>
        <w:t xml:space="preserve">We </w:t>
      </w:r>
      <w:r w:rsidR="009E0097" w:rsidRPr="00227A2E">
        <w:rPr>
          <w:iCs/>
          <w:sz w:val="20"/>
          <w:szCs w:val="20"/>
        </w:rPr>
        <w:t xml:space="preserve">will continue to engage with the Government on these issues and </w:t>
      </w:r>
      <w:r w:rsidRPr="00227A2E">
        <w:rPr>
          <w:iCs/>
          <w:sz w:val="20"/>
          <w:szCs w:val="20"/>
        </w:rPr>
        <w:t xml:space="preserve">are </w:t>
      </w:r>
      <w:r w:rsidR="009E0097" w:rsidRPr="00227A2E">
        <w:rPr>
          <w:iCs/>
          <w:sz w:val="20"/>
          <w:szCs w:val="20"/>
        </w:rPr>
        <w:t xml:space="preserve">grateful for its stakeholder dialogues. </w:t>
      </w:r>
      <w:r w:rsidRPr="00227A2E">
        <w:rPr>
          <w:iCs/>
          <w:sz w:val="20"/>
          <w:szCs w:val="20"/>
        </w:rPr>
        <w:t xml:space="preserve">We shall, for example, </w:t>
      </w:r>
      <w:r w:rsidR="009E0097" w:rsidRPr="00227A2E">
        <w:rPr>
          <w:iCs/>
          <w:sz w:val="20"/>
          <w:szCs w:val="20"/>
        </w:rPr>
        <w:t>make more detailed submissions concerning future trading arrangements, both with the EU and other countries, in due course.</w:t>
      </w:r>
      <w:r w:rsidRPr="00227A2E">
        <w:rPr>
          <w:iCs/>
          <w:sz w:val="20"/>
          <w:szCs w:val="20"/>
        </w:rPr>
        <w:t xml:space="preserve"> </w:t>
      </w:r>
    </w:p>
    <w:p w14:paraId="70410600" w14:textId="785DCE87" w:rsidR="009E0097" w:rsidRPr="00227A2E" w:rsidRDefault="00B26BE9" w:rsidP="009E0097">
      <w:pPr>
        <w:jc w:val="left"/>
        <w:rPr>
          <w:iCs/>
          <w:sz w:val="20"/>
          <w:szCs w:val="20"/>
        </w:rPr>
      </w:pPr>
      <w:r w:rsidRPr="00227A2E">
        <w:rPr>
          <w:iCs/>
          <w:sz w:val="20"/>
          <w:szCs w:val="20"/>
        </w:rPr>
        <w:t>T</w:t>
      </w:r>
      <w:r w:rsidR="00FC2D6F" w:rsidRPr="00227A2E">
        <w:rPr>
          <w:iCs/>
          <w:sz w:val="20"/>
          <w:szCs w:val="20"/>
        </w:rPr>
        <w:t>he immediate priority must</w:t>
      </w:r>
      <w:r w:rsidRPr="00227A2E">
        <w:rPr>
          <w:iCs/>
          <w:sz w:val="20"/>
          <w:szCs w:val="20"/>
        </w:rPr>
        <w:t>, however,</w:t>
      </w:r>
      <w:r w:rsidR="00FC2D6F" w:rsidRPr="00227A2E">
        <w:rPr>
          <w:iCs/>
          <w:sz w:val="20"/>
          <w:szCs w:val="20"/>
        </w:rPr>
        <w:t xml:space="preserve"> be to achieve a deal which provides the certainty crucial to British business and commerce in the IP sector.</w:t>
      </w:r>
    </w:p>
    <w:p w14:paraId="0A579E29" w14:textId="5E5B3980" w:rsidR="001C7759" w:rsidRDefault="001C7759" w:rsidP="009E0097">
      <w:pPr>
        <w:pStyle w:val="Default"/>
        <w:rPr>
          <w:i/>
          <w:iCs/>
          <w:sz w:val="20"/>
          <w:szCs w:val="20"/>
        </w:rPr>
      </w:pPr>
    </w:p>
    <w:p w14:paraId="1F4269C3" w14:textId="72798137" w:rsidR="00070E50" w:rsidRDefault="00533107" w:rsidP="009E0097">
      <w:pPr>
        <w:pStyle w:val="Default"/>
        <w:rPr>
          <w:b/>
          <w:iCs/>
          <w:sz w:val="20"/>
          <w:szCs w:val="20"/>
        </w:rPr>
      </w:pPr>
      <w:r>
        <w:rPr>
          <w:b/>
          <w:iCs/>
          <w:sz w:val="20"/>
          <w:szCs w:val="20"/>
        </w:rPr>
        <w:t>14</w:t>
      </w:r>
      <w:r w:rsidRPr="00B67AF0">
        <w:rPr>
          <w:b/>
          <w:iCs/>
          <w:sz w:val="20"/>
          <w:szCs w:val="20"/>
          <w:vertAlign w:val="superscript"/>
        </w:rPr>
        <w:t>th</w:t>
      </w:r>
      <w:r>
        <w:rPr>
          <w:b/>
          <w:iCs/>
          <w:sz w:val="20"/>
          <w:szCs w:val="20"/>
        </w:rPr>
        <w:t xml:space="preserve"> October 2019</w:t>
      </w:r>
    </w:p>
    <w:p w14:paraId="3A5F0F1F" w14:textId="77777777" w:rsidR="00533107" w:rsidRDefault="00533107" w:rsidP="009E0097">
      <w:pPr>
        <w:pStyle w:val="Default"/>
        <w:rPr>
          <w:b/>
          <w:iCs/>
          <w:sz w:val="20"/>
          <w:szCs w:val="20"/>
        </w:rPr>
      </w:pPr>
    </w:p>
    <w:p w14:paraId="2D139DEF" w14:textId="22728118" w:rsidR="00587638" w:rsidRPr="00070E50" w:rsidRDefault="00070E50" w:rsidP="009E0097">
      <w:pPr>
        <w:pStyle w:val="Default"/>
        <w:rPr>
          <w:iCs/>
          <w:sz w:val="20"/>
          <w:szCs w:val="20"/>
        </w:rPr>
      </w:pPr>
      <w:r>
        <w:rPr>
          <w:b/>
          <w:iCs/>
          <w:sz w:val="20"/>
          <w:szCs w:val="20"/>
        </w:rPr>
        <w:t>This letter is supported by the following s</w:t>
      </w:r>
      <w:r w:rsidR="00587638" w:rsidRPr="00B67AF0">
        <w:rPr>
          <w:b/>
          <w:iCs/>
          <w:sz w:val="20"/>
          <w:szCs w:val="20"/>
        </w:rPr>
        <w:t>ignatories</w:t>
      </w:r>
    </w:p>
    <w:p w14:paraId="2888DFC8" w14:textId="61F770CB" w:rsidR="004264C7" w:rsidRPr="00070E50" w:rsidRDefault="004264C7" w:rsidP="009E0097">
      <w:pPr>
        <w:pStyle w:val="Default"/>
        <w:rPr>
          <w:sz w:val="20"/>
          <w:szCs w:val="20"/>
        </w:rPr>
      </w:pPr>
      <w:r w:rsidRPr="00070E50">
        <w:rPr>
          <w:sz w:val="20"/>
          <w:szCs w:val="20"/>
        </w:rPr>
        <w:t>Suzanne Oliver, President, IP Federation</w:t>
      </w:r>
    </w:p>
    <w:p w14:paraId="1FE05183" w14:textId="330B9FAA" w:rsidR="004264C7" w:rsidRPr="00070E50" w:rsidRDefault="004851BF" w:rsidP="009E0097">
      <w:pPr>
        <w:pStyle w:val="Default"/>
        <w:rPr>
          <w:sz w:val="20"/>
          <w:szCs w:val="20"/>
        </w:rPr>
      </w:pPr>
      <w:r w:rsidRPr="00070E50">
        <w:rPr>
          <w:sz w:val="20"/>
          <w:szCs w:val="20"/>
        </w:rPr>
        <w:t xml:space="preserve">Simon Davis, President, </w:t>
      </w:r>
      <w:r w:rsidR="004264C7" w:rsidRPr="00070E50">
        <w:rPr>
          <w:sz w:val="20"/>
          <w:szCs w:val="20"/>
        </w:rPr>
        <w:t>The Law Society</w:t>
      </w:r>
      <w:r w:rsidR="003928E0" w:rsidRPr="00070E50">
        <w:rPr>
          <w:sz w:val="20"/>
          <w:szCs w:val="20"/>
        </w:rPr>
        <w:t xml:space="preserve"> of England and Wales</w:t>
      </w:r>
    </w:p>
    <w:p w14:paraId="5A65C16A" w14:textId="1E366065" w:rsidR="0066686F" w:rsidRPr="00070E50" w:rsidRDefault="004851BF" w:rsidP="0066686F">
      <w:pPr>
        <w:pStyle w:val="Default"/>
        <w:rPr>
          <w:sz w:val="20"/>
          <w:szCs w:val="20"/>
        </w:rPr>
      </w:pPr>
      <w:r w:rsidRPr="00070E50">
        <w:rPr>
          <w:sz w:val="20"/>
          <w:szCs w:val="20"/>
        </w:rPr>
        <w:t xml:space="preserve">Daniel Alexander QC, President, </w:t>
      </w:r>
      <w:r w:rsidR="0066686F" w:rsidRPr="00070E50">
        <w:rPr>
          <w:sz w:val="20"/>
          <w:szCs w:val="20"/>
        </w:rPr>
        <w:t>The Intellectual Property Bar Association</w:t>
      </w:r>
    </w:p>
    <w:p w14:paraId="0CB9E929" w14:textId="37E94062" w:rsidR="0066686F" w:rsidRPr="00070E50" w:rsidRDefault="007877F4" w:rsidP="0066686F">
      <w:pPr>
        <w:pStyle w:val="Default"/>
        <w:rPr>
          <w:sz w:val="20"/>
          <w:szCs w:val="20"/>
        </w:rPr>
      </w:pPr>
      <w:r w:rsidRPr="00070E50">
        <w:rPr>
          <w:sz w:val="20"/>
          <w:szCs w:val="20"/>
        </w:rPr>
        <w:t xml:space="preserve">Julia Florence, President, </w:t>
      </w:r>
      <w:r w:rsidR="0066686F" w:rsidRPr="00070E50">
        <w:rPr>
          <w:sz w:val="20"/>
          <w:szCs w:val="20"/>
        </w:rPr>
        <w:t>The Chartered Institute of Patent Attorneys</w:t>
      </w:r>
    </w:p>
    <w:p w14:paraId="533281B7" w14:textId="799BD2E8" w:rsidR="0066686F" w:rsidRPr="00070E50" w:rsidRDefault="007877F4" w:rsidP="0066686F">
      <w:pPr>
        <w:pStyle w:val="Default"/>
        <w:rPr>
          <w:sz w:val="20"/>
          <w:szCs w:val="20"/>
        </w:rPr>
      </w:pPr>
      <w:bookmarkStart w:id="2" w:name="_Hlk21680627"/>
      <w:r w:rsidRPr="00070E50">
        <w:rPr>
          <w:sz w:val="20"/>
          <w:szCs w:val="20"/>
        </w:rPr>
        <w:t xml:space="preserve">Tania Clark, President, </w:t>
      </w:r>
      <w:r w:rsidR="0066686F" w:rsidRPr="00070E50">
        <w:rPr>
          <w:sz w:val="20"/>
          <w:szCs w:val="20"/>
        </w:rPr>
        <w:t>The Chartered Institute of Trade Mark Attorneys</w:t>
      </w:r>
      <w:bookmarkEnd w:id="2"/>
    </w:p>
    <w:p w14:paraId="1AE115C6" w14:textId="57B7E2F4" w:rsidR="003465A4" w:rsidRPr="00070E50" w:rsidRDefault="0063391A" w:rsidP="009E0097">
      <w:pPr>
        <w:pStyle w:val="Default"/>
        <w:rPr>
          <w:sz w:val="20"/>
          <w:szCs w:val="20"/>
        </w:rPr>
      </w:pPr>
      <w:r w:rsidRPr="00070E50">
        <w:rPr>
          <w:sz w:val="20"/>
          <w:szCs w:val="20"/>
        </w:rPr>
        <w:t xml:space="preserve">Michael Burdon, Chairman, </w:t>
      </w:r>
      <w:r w:rsidR="003465A4" w:rsidRPr="00070E50">
        <w:rPr>
          <w:sz w:val="20"/>
          <w:szCs w:val="20"/>
        </w:rPr>
        <w:t xml:space="preserve">The Intellectual </w:t>
      </w:r>
      <w:r w:rsidR="003C45FA" w:rsidRPr="00070E50">
        <w:rPr>
          <w:sz w:val="20"/>
          <w:szCs w:val="20"/>
        </w:rPr>
        <w:t>Property Lawyers Association</w:t>
      </w:r>
    </w:p>
    <w:p w14:paraId="0A028AB4" w14:textId="61FA9D43" w:rsidR="004264C7" w:rsidRPr="00070E50" w:rsidRDefault="005D24FB" w:rsidP="009E0097">
      <w:pPr>
        <w:pStyle w:val="Default"/>
        <w:rPr>
          <w:sz w:val="20"/>
          <w:szCs w:val="20"/>
        </w:rPr>
      </w:pPr>
      <w:r w:rsidRPr="00070E50">
        <w:rPr>
          <w:sz w:val="20"/>
          <w:szCs w:val="20"/>
        </w:rPr>
        <w:t>Simon Rees</w:t>
      </w:r>
      <w:r w:rsidR="007877F4" w:rsidRPr="00070E50">
        <w:rPr>
          <w:sz w:val="20"/>
          <w:szCs w:val="20"/>
        </w:rPr>
        <w:t xml:space="preserve">, President, </w:t>
      </w:r>
      <w:r w:rsidR="004264C7" w:rsidRPr="00070E50">
        <w:rPr>
          <w:sz w:val="20"/>
          <w:szCs w:val="20"/>
        </w:rPr>
        <w:t>The International Federation of Intellectual Property Attorneys, UK Group (FICPI-UK)</w:t>
      </w:r>
    </w:p>
    <w:p w14:paraId="398807D1" w14:textId="225FCE32" w:rsidR="00CA6824" w:rsidRPr="00070E50" w:rsidRDefault="00CA6824" w:rsidP="009E0097">
      <w:pPr>
        <w:pStyle w:val="Default"/>
        <w:rPr>
          <w:sz w:val="20"/>
          <w:szCs w:val="20"/>
        </w:rPr>
      </w:pPr>
      <w:r w:rsidRPr="00070E50">
        <w:rPr>
          <w:sz w:val="20"/>
          <w:szCs w:val="20"/>
        </w:rPr>
        <w:t>Sara Ashby, President, AIPPI United Kingdom</w:t>
      </w:r>
    </w:p>
    <w:p w14:paraId="37E1262F" w14:textId="77777777" w:rsidR="000842A8" w:rsidRDefault="007877F4" w:rsidP="009E0097">
      <w:pPr>
        <w:pStyle w:val="Default"/>
        <w:rPr>
          <w:sz w:val="20"/>
          <w:szCs w:val="20"/>
        </w:rPr>
      </w:pPr>
      <w:r w:rsidRPr="00070E50">
        <w:rPr>
          <w:sz w:val="20"/>
          <w:szCs w:val="20"/>
        </w:rPr>
        <w:t xml:space="preserve">Gwilym Roberts, President, </w:t>
      </w:r>
      <w:r w:rsidR="003928E0" w:rsidRPr="00070E50">
        <w:rPr>
          <w:sz w:val="20"/>
          <w:szCs w:val="20"/>
        </w:rPr>
        <w:t>The UNION of European Patent Practitioners, GB Group</w:t>
      </w:r>
    </w:p>
    <w:p w14:paraId="31E41FF8" w14:textId="2F49B664" w:rsidR="004264C7" w:rsidRPr="00070E50" w:rsidRDefault="000E00D8" w:rsidP="009E0097">
      <w:pPr>
        <w:pStyle w:val="Default"/>
        <w:rPr>
          <w:sz w:val="20"/>
          <w:szCs w:val="20"/>
        </w:rPr>
      </w:pPr>
      <w:r w:rsidRPr="00070E50">
        <w:rPr>
          <w:sz w:val="20"/>
          <w:szCs w:val="20"/>
        </w:rPr>
        <w:t xml:space="preserve">The Rt Hon </w:t>
      </w:r>
      <w:r w:rsidR="004264C7" w:rsidRPr="00070E50">
        <w:rPr>
          <w:sz w:val="20"/>
          <w:szCs w:val="20"/>
        </w:rPr>
        <w:t xml:space="preserve">Sir Robin Jacob, </w:t>
      </w:r>
      <w:r w:rsidRPr="00070E50">
        <w:rPr>
          <w:sz w:val="20"/>
          <w:szCs w:val="20"/>
        </w:rPr>
        <w:t xml:space="preserve">Professor, Faculty of Laws, </w:t>
      </w:r>
      <w:r w:rsidR="004264C7" w:rsidRPr="00070E50">
        <w:rPr>
          <w:sz w:val="20"/>
          <w:szCs w:val="20"/>
        </w:rPr>
        <w:t xml:space="preserve">University College London </w:t>
      </w:r>
    </w:p>
    <w:p w14:paraId="6DA1E042" w14:textId="421CB138" w:rsidR="004264C7" w:rsidRPr="00070E50" w:rsidRDefault="004264C7" w:rsidP="009E0097">
      <w:pPr>
        <w:pStyle w:val="Default"/>
        <w:rPr>
          <w:sz w:val="20"/>
          <w:szCs w:val="20"/>
        </w:rPr>
      </w:pPr>
      <w:r w:rsidRPr="00070E50">
        <w:rPr>
          <w:sz w:val="20"/>
          <w:szCs w:val="20"/>
        </w:rPr>
        <w:t xml:space="preserve">Professor Lionel </w:t>
      </w:r>
      <w:proofErr w:type="spellStart"/>
      <w:r w:rsidRPr="00070E50">
        <w:rPr>
          <w:sz w:val="20"/>
          <w:szCs w:val="20"/>
        </w:rPr>
        <w:t>Bently</w:t>
      </w:r>
      <w:proofErr w:type="spellEnd"/>
      <w:r w:rsidRPr="00070E50">
        <w:rPr>
          <w:sz w:val="20"/>
          <w:szCs w:val="20"/>
        </w:rPr>
        <w:t>, Co-Director, Centre for Intellectual Property and Information Law, University of Cambridge</w:t>
      </w:r>
    </w:p>
    <w:p w14:paraId="61C77B99" w14:textId="72314698" w:rsidR="001C7759" w:rsidRPr="00070E50" w:rsidRDefault="001C7759" w:rsidP="009E0097">
      <w:pPr>
        <w:pStyle w:val="Default"/>
        <w:rPr>
          <w:sz w:val="20"/>
          <w:szCs w:val="20"/>
        </w:rPr>
      </w:pPr>
      <w:r w:rsidRPr="00070E50">
        <w:rPr>
          <w:sz w:val="20"/>
          <w:szCs w:val="20"/>
        </w:rPr>
        <w:t>Professor Duncan Matthews, Director, Queen Mary Intellectual Property Research Institute, Queen Mary University of London</w:t>
      </w:r>
    </w:p>
    <w:p w14:paraId="5E5AAD20" w14:textId="56399DAE" w:rsidR="004264C7" w:rsidRPr="00070E50" w:rsidRDefault="004264C7" w:rsidP="009E0097">
      <w:pPr>
        <w:pStyle w:val="Default"/>
        <w:rPr>
          <w:sz w:val="20"/>
          <w:szCs w:val="20"/>
        </w:rPr>
      </w:pPr>
      <w:r w:rsidRPr="00070E50">
        <w:rPr>
          <w:sz w:val="20"/>
          <w:szCs w:val="20"/>
        </w:rPr>
        <w:t xml:space="preserve">Professor Tanya </w:t>
      </w:r>
      <w:proofErr w:type="spellStart"/>
      <w:r w:rsidRPr="00070E50">
        <w:rPr>
          <w:sz w:val="20"/>
          <w:szCs w:val="20"/>
        </w:rPr>
        <w:t>Aplin</w:t>
      </w:r>
      <w:proofErr w:type="spellEnd"/>
      <w:r w:rsidRPr="00070E50">
        <w:rPr>
          <w:sz w:val="20"/>
          <w:szCs w:val="20"/>
        </w:rPr>
        <w:t>, Professor of Intellectual Property Law, King's College London</w:t>
      </w:r>
    </w:p>
    <w:p w14:paraId="53A72FAF" w14:textId="680A5724" w:rsidR="0066686F" w:rsidRPr="00070E50" w:rsidRDefault="004264C7" w:rsidP="00B67AF0">
      <w:pPr>
        <w:jc w:val="left"/>
        <w:rPr>
          <w:sz w:val="20"/>
          <w:szCs w:val="20"/>
        </w:rPr>
      </w:pPr>
      <w:r w:rsidRPr="00070E50">
        <w:rPr>
          <w:sz w:val="20"/>
          <w:szCs w:val="20"/>
        </w:rPr>
        <w:t xml:space="preserve">Professor Maurizio </w:t>
      </w:r>
      <w:proofErr w:type="spellStart"/>
      <w:r w:rsidRPr="00070E50">
        <w:rPr>
          <w:sz w:val="20"/>
          <w:szCs w:val="20"/>
        </w:rPr>
        <w:t>Borghi</w:t>
      </w:r>
      <w:proofErr w:type="spellEnd"/>
      <w:r w:rsidR="00152D20" w:rsidRPr="00070E50">
        <w:rPr>
          <w:sz w:val="20"/>
          <w:szCs w:val="20"/>
        </w:rPr>
        <w:t>,</w:t>
      </w:r>
      <w:r w:rsidR="00F531D3">
        <w:rPr>
          <w:sz w:val="20"/>
          <w:szCs w:val="20"/>
        </w:rPr>
        <w:t xml:space="preserve"> </w:t>
      </w:r>
      <w:r w:rsidR="00152D20" w:rsidRPr="00070E50">
        <w:rPr>
          <w:sz w:val="20"/>
          <w:szCs w:val="20"/>
        </w:rPr>
        <w:t>Director,</w:t>
      </w:r>
      <w:r w:rsidRPr="00070E50">
        <w:rPr>
          <w:sz w:val="20"/>
          <w:szCs w:val="20"/>
        </w:rPr>
        <w:t xml:space="preserve"> Centre for</w:t>
      </w:r>
      <w:r w:rsidR="00F531D3">
        <w:rPr>
          <w:sz w:val="20"/>
          <w:szCs w:val="20"/>
        </w:rPr>
        <w:t xml:space="preserve"> </w:t>
      </w:r>
      <w:r w:rsidRPr="00070E50">
        <w:rPr>
          <w:sz w:val="20"/>
          <w:szCs w:val="20"/>
        </w:rPr>
        <w:t>Intellectual Property Policy and Management Bournemouth University</w:t>
      </w:r>
    </w:p>
    <w:p w14:paraId="270E8AB5" w14:textId="77777777" w:rsidR="00070E50" w:rsidRPr="00070E50" w:rsidRDefault="00070E50" w:rsidP="00070E50">
      <w:pPr>
        <w:spacing w:after="0"/>
        <w:jc w:val="both"/>
        <w:rPr>
          <w:b/>
          <w:iCs/>
          <w:color w:val="000000"/>
          <w:sz w:val="20"/>
          <w:szCs w:val="20"/>
        </w:rPr>
      </w:pPr>
    </w:p>
    <w:p w14:paraId="2F9FDD93" w14:textId="77777777" w:rsidR="00070E50" w:rsidRDefault="00070E50" w:rsidP="00070E50">
      <w:pPr>
        <w:spacing w:after="0"/>
        <w:jc w:val="both"/>
        <w:rPr>
          <w:b/>
          <w:iCs/>
          <w:color w:val="000000"/>
          <w:sz w:val="20"/>
          <w:szCs w:val="20"/>
        </w:rPr>
      </w:pPr>
    </w:p>
    <w:p w14:paraId="6EE44013" w14:textId="77777777" w:rsidR="00070E50" w:rsidRDefault="00070E50" w:rsidP="00070E50">
      <w:pPr>
        <w:spacing w:after="0"/>
        <w:jc w:val="both"/>
        <w:rPr>
          <w:b/>
          <w:iCs/>
          <w:color w:val="000000"/>
          <w:sz w:val="20"/>
          <w:szCs w:val="20"/>
        </w:rPr>
      </w:pPr>
    </w:p>
    <w:p w14:paraId="2DE9EFFA" w14:textId="2304169D" w:rsidR="00070E50" w:rsidRPr="00B67AF0" w:rsidRDefault="00587638" w:rsidP="00B67AF0">
      <w:pPr>
        <w:spacing w:after="0"/>
        <w:jc w:val="both"/>
        <w:rPr>
          <w:b/>
          <w:iCs/>
          <w:color w:val="000000"/>
          <w:sz w:val="20"/>
          <w:szCs w:val="20"/>
        </w:rPr>
      </w:pPr>
      <w:r w:rsidRPr="00B67AF0">
        <w:rPr>
          <w:b/>
          <w:iCs/>
          <w:color w:val="000000"/>
          <w:sz w:val="20"/>
          <w:szCs w:val="20"/>
        </w:rPr>
        <w:t>Recipients</w:t>
      </w:r>
      <w:r w:rsidR="00FD4B40" w:rsidRPr="00B67AF0">
        <w:rPr>
          <w:b/>
          <w:iCs/>
          <w:color w:val="000000"/>
          <w:sz w:val="20"/>
          <w:szCs w:val="20"/>
        </w:rPr>
        <w:t xml:space="preserve"> </w:t>
      </w:r>
    </w:p>
    <w:p w14:paraId="61592B84" w14:textId="48A2F04F" w:rsidR="00070E50" w:rsidRPr="00B67AF0" w:rsidRDefault="00070E50" w:rsidP="00B67AF0">
      <w:pPr>
        <w:spacing w:after="0"/>
        <w:jc w:val="left"/>
        <w:rPr>
          <w:i/>
          <w:iCs/>
          <w:color w:val="000000"/>
          <w:sz w:val="20"/>
          <w:szCs w:val="20"/>
        </w:rPr>
      </w:pPr>
      <w:r w:rsidRPr="00B67AF0">
        <w:rPr>
          <w:i/>
          <w:iCs/>
          <w:color w:val="000000"/>
          <w:sz w:val="20"/>
          <w:szCs w:val="20"/>
        </w:rPr>
        <w:t>The Rt Hon Sajid Javid MP, Chancellor of the Exchequer</w:t>
      </w:r>
    </w:p>
    <w:p w14:paraId="34E74F08" w14:textId="77777777" w:rsidR="00070E50" w:rsidRPr="00B67AF0" w:rsidRDefault="00070E50" w:rsidP="00B67AF0">
      <w:pPr>
        <w:spacing w:after="0"/>
        <w:jc w:val="left"/>
        <w:rPr>
          <w:i/>
          <w:iCs/>
          <w:color w:val="000000"/>
          <w:sz w:val="20"/>
          <w:szCs w:val="20"/>
        </w:rPr>
      </w:pPr>
      <w:r w:rsidRPr="00B67AF0">
        <w:rPr>
          <w:i/>
          <w:iCs/>
          <w:color w:val="000000"/>
          <w:sz w:val="20"/>
          <w:szCs w:val="20"/>
        </w:rPr>
        <w:t xml:space="preserve">The Rt Hon Dominic </w:t>
      </w:r>
      <w:proofErr w:type="spellStart"/>
      <w:r w:rsidRPr="00B67AF0">
        <w:rPr>
          <w:i/>
          <w:iCs/>
          <w:color w:val="000000"/>
          <w:sz w:val="20"/>
          <w:szCs w:val="20"/>
        </w:rPr>
        <w:t>Raab</w:t>
      </w:r>
      <w:proofErr w:type="spellEnd"/>
      <w:r w:rsidRPr="00B67AF0">
        <w:rPr>
          <w:i/>
          <w:iCs/>
          <w:color w:val="000000"/>
          <w:sz w:val="20"/>
          <w:szCs w:val="20"/>
        </w:rPr>
        <w:t xml:space="preserve"> MP, Secretary of State for Foreign and Commonwealth Affairs</w:t>
      </w:r>
    </w:p>
    <w:p w14:paraId="28CFA4D9" w14:textId="77777777" w:rsidR="00070E50" w:rsidRPr="00B67AF0" w:rsidRDefault="00070E50" w:rsidP="00B67AF0">
      <w:pPr>
        <w:spacing w:after="0"/>
        <w:jc w:val="left"/>
        <w:rPr>
          <w:i/>
          <w:iCs/>
          <w:color w:val="000000"/>
          <w:sz w:val="20"/>
          <w:szCs w:val="20"/>
        </w:rPr>
      </w:pPr>
      <w:r w:rsidRPr="00B67AF0">
        <w:rPr>
          <w:i/>
          <w:iCs/>
          <w:color w:val="000000"/>
          <w:sz w:val="20"/>
          <w:szCs w:val="20"/>
        </w:rPr>
        <w:t>The Rt Hon Michael Gove MP, Chancellor of the Duchy of Lancaster</w:t>
      </w:r>
    </w:p>
    <w:p w14:paraId="40F3E27D" w14:textId="77777777" w:rsidR="00070E50" w:rsidRPr="00B67AF0" w:rsidRDefault="00070E50" w:rsidP="00B67AF0">
      <w:pPr>
        <w:spacing w:after="0"/>
        <w:jc w:val="left"/>
        <w:rPr>
          <w:i/>
          <w:iCs/>
          <w:color w:val="000000"/>
          <w:sz w:val="20"/>
          <w:szCs w:val="20"/>
        </w:rPr>
      </w:pPr>
      <w:r w:rsidRPr="00B67AF0">
        <w:rPr>
          <w:i/>
          <w:iCs/>
          <w:color w:val="000000"/>
          <w:sz w:val="20"/>
          <w:szCs w:val="20"/>
        </w:rPr>
        <w:t>The Rt Hon Robert Buckland QC MP, Lord Chancellor and Secretary of State for Justice</w:t>
      </w:r>
    </w:p>
    <w:p w14:paraId="67449E17" w14:textId="77777777" w:rsidR="00070E50" w:rsidRPr="00B67AF0" w:rsidRDefault="00070E50" w:rsidP="00B67AF0">
      <w:pPr>
        <w:spacing w:after="0"/>
        <w:jc w:val="left"/>
        <w:rPr>
          <w:i/>
          <w:iCs/>
          <w:color w:val="000000"/>
          <w:sz w:val="20"/>
          <w:szCs w:val="20"/>
        </w:rPr>
      </w:pPr>
      <w:r w:rsidRPr="00B67AF0">
        <w:rPr>
          <w:i/>
          <w:iCs/>
          <w:color w:val="000000"/>
          <w:sz w:val="20"/>
          <w:szCs w:val="20"/>
        </w:rPr>
        <w:t>The Rt Hon Steve Barclay MP, Secretary of State for Exiting the European Union</w:t>
      </w:r>
    </w:p>
    <w:p w14:paraId="4E71B989" w14:textId="77777777" w:rsidR="00070E50" w:rsidRPr="00B67AF0" w:rsidRDefault="00070E50" w:rsidP="00B67AF0">
      <w:pPr>
        <w:spacing w:after="0"/>
        <w:jc w:val="left"/>
        <w:rPr>
          <w:i/>
          <w:iCs/>
          <w:color w:val="000000"/>
          <w:sz w:val="20"/>
          <w:szCs w:val="20"/>
        </w:rPr>
      </w:pPr>
      <w:r w:rsidRPr="00B67AF0">
        <w:rPr>
          <w:i/>
          <w:iCs/>
          <w:color w:val="000000"/>
          <w:sz w:val="20"/>
          <w:szCs w:val="20"/>
        </w:rPr>
        <w:t>The Rt Hon Andrea Leadsom MP, Secretary of State for Business, Energy and Industrial</w:t>
      </w:r>
    </w:p>
    <w:p w14:paraId="7BE7AD29" w14:textId="77777777" w:rsidR="00070E50" w:rsidRPr="00B67AF0" w:rsidRDefault="00070E50" w:rsidP="00B67AF0">
      <w:pPr>
        <w:spacing w:after="0"/>
        <w:jc w:val="left"/>
        <w:rPr>
          <w:i/>
          <w:iCs/>
          <w:color w:val="000000"/>
          <w:sz w:val="20"/>
          <w:szCs w:val="20"/>
        </w:rPr>
      </w:pPr>
      <w:r w:rsidRPr="00B67AF0">
        <w:rPr>
          <w:i/>
          <w:iCs/>
          <w:color w:val="000000"/>
          <w:sz w:val="20"/>
          <w:szCs w:val="20"/>
        </w:rPr>
        <w:t xml:space="preserve">Strategy </w:t>
      </w:r>
    </w:p>
    <w:p w14:paraId="01EAE96C" w14:textId="77777777" w:rsidR="00070E50" w:rsidRPr="00B67AF0" w:rsidRDefault="00070E50" w:rsidP="00B67AF0">
      <w:pPr>
        <w:spacing w:after="0"/>
        <w:jc w:val="left"/>
        <w:rPr>
          <w:i/>
          <w:iCs/>
          <w:color w:val="000000"/>
          <w:sz w:val="20"/>
          <w:szCs w:val="20"/>
        </w:rPr>
      </w:pPr>
      <w:r w:rsidRPr="00B67AF0">
        <w:rPr>
          <w:i/>
          <w:iCs/>
          <w:color w:val="000000"/>
          <w:sz w:val="20"/>
          <w:szCs w:val="20"/>
        </w:rPr>
        <w:t xml:space="preserve">The Rt Hon Elizabeth Truss MP, Secretary of State for International Trade </w:t>
      </w:r>
    </w:p>
    <w:p w14:paraId="2C097A86" w14:textId="77777777" w:rsidR="00070E50" w:rsidRPr="00B67AF0" w:rsidRDefault="00070E50" w:rsidP="00B67AF0">
      <w:pPr>
        <w:spacing w:after="0"/>
        <w:jc w:val="left"/>
        <w:rPr>
          <w:i/>
          <w:iCs/>
          <w:color w:val="000000"/>
          <w:sz w:val="20"/>
          <w:szCs w:val="20"/>
        </w:rPr>
      </w:pPr>
      <w:r w:rsidRPr="00B67AF0">
        <w:rPr>
          <w:i/>
          <w:iCs/>
          <w:color w:val="000000"/>
          <w:sz w:val="20"/>
          <w:szCs w:val="20"/>
        </w:rPr>
        <w:t>The Rt Hon Nicky Morgan MP, Secretary of State for Digital, Culture, Media and Sport</w:t>
      </w:r>
    </w:p>
    <w:p w14:paraId="02AE398F" w14:textId="77777777" w:rsidR="00070E50" w:rsidRPr="00B67AF0" w:rsidRDefault="00070E50" w:rsidP="00B67AF0">
      <w:pPr>
        <w:spacing w:after="0"/>
        <w:jc w:val="left"/>
        <w:rPr>
          <w:i/>
          <w:iCs/>
          <w:color w:val="000000"/>
          <w:sz w:val="20"/>
          <w:szCs w:val="20"/>
        </w:rPr>
      </w:pPr>
      <w:r w:rsidRPr="00B67AF0">
        <w:rPr>
          <w:i/>
          <w:iCs/>
          <w:color w:val="000000"/>
          <w:sz w:val="20"/>
          <w:szCs w:val="20"/>
        </w:rPr>
        <w:t>Chris Skidmore MP, Minister of State for Universities, Science, Research and Innovation</w:t>
      </w:r>
    </w:p>
    <w:p w14:paraId="466066C4" w14:textId="0D4E4DC9" w:rsidR="00070E50" w:rsidRPr="00B67AF0" w:rsidRDefault="00070E50" w:rsidP="00B67AF0">
      <w:pPr>
        <w:spacing w:after="0"/>
        <w:jc w:val="left"/>
        <w:rPr>
          <w:i/>
          <w:iCs/>
          <w:color w:val="000000"/>
          <w:sz w:val="20"/>
          <w:szCs w:val="20"/>
        </w:rPr>
      </w:pPr>
      <w:r w:rsidRPr="00B67AF0">
        <w:rPr>
          <w:i/>
          <w:iCs/>
          <w:color w:val="000000"/>
          <w:sz w:val="20"/>
          <w:szCs w:val="20"/>
        </w:rPr>
        <w:t>Conor Burns MP, Minister of State for Trade Policy</w:t>
      </w:r>
    </w:p>
    <w:p w14:paraId="7B5356C6" w14:textId="77777777" w:rsidR="00070E50" w:rsidRPr="00B67AF0" w:rsidRDefault="00070E50" w:rsidP="00B67AF0">
      <w:pPr>
        <w:spacing w:after="0"/>
        <w:jc w:val="left"/>
        <w:rPr>
          <w:i/>
          <w:iCs/>
          <w:color w:val="000000"/>
          <w:sz w:val="20"/>
          <w:szCs w:val="20"/>
        </w:rPr>
      </w:pPr>
      <w:r w:rsidRPr="00B67AF0">
        <w:rPr>
          <w:i/>
          <w:iCs/>
          <w:color w:val="000000"/>
          <w:sz w:val="20"/>
          <w:szCs w:val="20"/>
        </w:rPr>
        <w:t>Tim Moss, Chief Executive and Comptroller General, IPO</w:t>
      </w:r>
    </w:p>
    <w:p w14:paraId="4734E782" w14:textId="77777777" w:rsidR="00070E50" w:rsidRPr="00B67AF0" w:rsidRDefault="00070E50" w:rsidP="00B67AF0">
      <w:pPr>
        <w:spacing w:after="0"/>
        <w:jc w:val="left"/>
        <w:rPr>
          <w:i/>
          <w:iCs/>
          <w:color w:val="000000"/>
          <w:sz w:val="20"/>
          <w:szCs w:val="20"/>
        </w:rPr>
      </w:pPr>
      <w:r w:rsidRPr="00B67AF0">
        <w:rPr>
          <w:i/>
          <w:iCs/>
          <w:color w:val="000000"/>
          <w:sz w:val="20"/>
          <w:szCs w:val="20"/>
        </w:rPr>
        <w:t>Adam Williams, Director of International Policy, IPO</w:t>
      </w:r>
    </w:p>
    <w:p w14:paraId="14F90166" w14:textId="100AC162" w:rsidR="00070E50" w:rsidRPr="00B67AF0" w:rsidRDefault="00070E50" w:rsidP="00B67AF0">
      <w:pPr>
        <w:spacing w:after="0"/>
        <w:jc w:val="left"/>
        <w:rPr>
          <w:i/>
          <w:iCs/>
          <w:color w:val="000000"/>
          <w:sz w:val="20"/>
          <w:szCs w:val="20"/>
        </w:rPr>
      </w:pPr>
      <w:r w:rsidRPr="00B67AF0">
        <w:rPr>
          <w:i/>
          <w:iCs/>
          <w:color w:val="000000"/>
          <w:sz w:val="20"/>
          <w:szCs w:val="20"/>
        </w:rPr>
        <w:t>David Holdsworth, Deputy CEO and Director of Operational Delivery, IPO</w:t>
      </w:r>
    </w:p>
    <w:p w14:paraId="2FB7672B" w14:textId="77777777" w:rsidR="00070E50" w:rsidRPr="00B67AF0" w:rsidRDefault="00070E50" w:rsidP="00B67AF0">
      <w:pPr>
        <w:spacing w:after="0"/>
        <w:jc w:val="left"/>
        <w:rPr>
          <w:i/>
          <w:iCs/>
          <w:color w:val="000000"/>
          <w:sz w:val="20"/>
          <w:szCs w:val="20"/>
        </w:rPr>
      </w:pPr>
      <w:r w:rsidRPr="00B67AF0">
        <w:rPr>
          <w:i/>
          <w:iCs/>
          <w:color w:val="000000"/>
          <w:sz w:val="20"/>
          <w:szCs w:val="20"/>
        </w:rPr>
        <w:t xml:space="preserve">John </w:t>
      </w:r>
      <w:proofErr w:type="spellStart"/>
      <w:r w:rsidRPr="00B67AF0">
        <w:rPr>
          <w:i/>
          <w:iCs/>
          <w:color w:val="000000"/>
          <w:sz w:val="20"/>
          <w:szCs w:val="20"/>
        </w:rPr>
        <w:t>Alty</w:t>
      </w:r>
      <w:proofErr w:type="spellEnd"/>
      <w:r w:rsidRPr="00B67AF0">
        <w:rPr>
          <w:i/>
          <w:iCs/>
          <w:color w:val="000000"/>
          <w:sz w:val="20"/>
          <w:szCs w:val="20"/>
        </w:rPr>
        <w:t>, Director General of Trade Policy, Department for International Trade</w:t>
      </w:r>
    </w:p>
    <w:p w14:paraId="29FDB08B" w14:textId="77777777" w:rsidR="00070E50" w:rsidRPr="00B67AF0" w:rsidRDefault="00070E50" w:rsidP="00B67AF0">
      <w:pPr>
        <w:spacing w:after="0"/>
        <w:jc w:val="left"/>
        <w:rPr>
          <w:i/>
          <w:iCs/>
          <w:color w:val="000000"/>
          <w:sz w:val="20"/>
          <w:szCs w:val="20"/>
        </w:rPr>
      </w:pPr>
      <w:r w:rsidRPr="00B67AF0">
        <w:rPr>
          <w:i/>
          <w:iCs/>
          <w:color w:val="000000"/>
          <w:sz w:val="20"/>
          <w:szCs w:val="20"/>
        </w:rPr>
        <w:t>Tom Josephs, Director of Trade Policy, Department for International Trade</w:t>
      </w:r>
    </w:p>
    <w:p w14:paraId="046A88C2" w14:textId="6FBDF616" w:rsidR="00070E50" w:rsidRPr="00B67AF0" w:rsidRDefault="00070E50" w:rsidP="00B67AF0">
      <w:pPr>
        <w:spacing w:after="0"/>
        <w:jc w:val="left"/>
        <w:rPr>
          <w:i/>
          <w:iCs/>
          <w:color w:val="000000"/>
          <w:sz w:val="20"/>
          <w:szCs w:val="20"/>
        </w:rPr>
      </w:pPr>
      <w:r w:rsidRPr="00B67AF0">
        <w:rPr>
          <w:i/>
          <w:iCs/>
          <w:color w:val="000000"/>
          <w:sz w:val="20"/>
          <w:szCs w:val="20"/>
        </w:rPr>
        <w:t>The Rt Hon the Lord Smith of Finsbury, Chair of the Intellectual Property Regulation Board</w:t>
      </w:r>
    </w:p>
    <w:p w14:paraId="060D402A" w14:textId="77777777" w:rsidR="00070E50" w:rsidRPr="00B67AF0" w:rsidRDefault="00070E50" w:rsidP="00B67AF0">
      <w:pPr>
        <w:spacing w:after="0"/>
        <w:jc w:val="left"/>
        <w:rPr>
          <w:i/>
          <w:iCs/>
          <w:color w:val="000000"/>
          <w:sz w:val="20"/>
          <w:szCs w:val="20"/>
        </w:rPr>
      </w:pPr>
      <w:r w:rsidRPr="00B67AF0">
        <w:rPr>
          <w:i/>
          <w:iCs/>
          <w:color w:val="000000"/>
          <w:sz w:val="20"/>
          <w:szCs w:val="20"/>
        </w:rPr>
        <w:t>The Baroness Bowles of Berkhamsted</w:t>
      </w:r>
    </w:p>
    <w:p w14:paraId="45633BE3" w14:textId="77777777" w:rsidR="00070E50" w:rsidRPr="00B67AF0" w:rsidRDefault="00070E50" w:rsidP="00B67AF0">
      <w:pPr>
        <w:spacing w:after="0"/>
        <w:jc w:val="left"/>
        <w:rPr>
          <w:i/>
          <w:iCs/>
          <w:color w:val="000000"/>
          <w:sz w:val="20"/>
          <w:szCs w:val="20"/>
        </w:rPr>
      </w:pPr>
      <w:r w:rsidRPr="00B67AF0">
        <w:rPr>
          <w:i/>
          <w:iCs/>
          <w:color w:val="000000"/>
          <w:sz w:val="20"/>
          <w:szCs w:val="20"/>
        </w:rPr>
        <w:t>The Baroness Hayter of Kentish Town</w:t>
      </w:r>
    </w:p>
    <w:p w14:paraId="0AFD48E3" w14:textId="77777777" w:rsidR="00070E50" w:rsidRPr="00B67AF0" w:rsidRDefault="00070E50" w:rsidP="00B67AF0">
      <w:pPr>
        <w:spacing w:after="0"/>
        <w:jc w:val="left"/>
        <w:rPr>
          <w:i/>
          <w:iCs/>
          <w:color w:val="000000"/>
          <w:sz w:val="20"/>
          <w:szCs w:val="20"/>
        </w:rPr>
      </w:pPr>
      <w:r w:rsidRPr="00B67AF0">
        <w:rPr>
          <w:i/>
          <w:iCs/>
          <w:color w:val="000000"/>
          <w:sz w:val="20"/>
          <w:szCs w:val="20"/>
        </w:rPr>
        <w:t>The Baroness Neville-Rolfe DBE CMG</w:t>
      </w:r>
    </w:p>
    <w:p w14:paraId="55A21EB5" w14:textId="61AC2CCA" w:rsidR="00DE4D2F" w:rsidRDefault="00070E50" w:rsidP="00B67AF0">
      <w:pPr>
        <w:jc w:val="both"/>
      </w:pPr>
      <w:r w:rsidRPr="00B67AF0">
        <w:rPr>
          <w:i/>
          <w:iCs/>
          <w:color w:val="000000"/>
          <w:sz w:val="20"/>
          <w:szCs w:val="20"/>
        </w:rPr>
        <w:t xml:space="preserve">The Lord Stevenson of </w:t>
      </w:r>
      <w:proofErr w:type="spellStart"/>
      <w:r w:rsidRPr="00B67AF0">
        <w:rPr>
          <w:i/>
          <w:iCs/>
          <w:color w:val="000000"/>
          <w:sz w:val="20"/>
          <w:szCs w:val="20"/>
        </w:rPr>
        <w:t>Balmacara</w:t>
      </w:r>
      <w:bookmarkEnd w:id="0"/>
      <w:proofErr w:type="spellEnd"/>
    </w:p>
    <w:sectPr w:rsidR="00DE4D2F" w:rsidSect="00CA68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8437A" w14:textId="77777777" w:rsidR="00E64500" w:rsidRDefault="00E64500" w:rsidP="0063470B">
      <w:pPr>
        <w:spacing w:after="0"/>
      </w:pPr>
      <w:r>
        <w:separator/>
      </w:r>
    </w:p>
  </w:endnote>
  <w:endnote w:type="continuationSeparator" w:id="0">
    <w:p w14:paraId="7B9CC94F" w14:textId="77777777" w:rsidR="00E64500" w:rsidRDefault="00E64500" w:rsidP="00634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30674" w14:textId="77777777" w:rsidR="00E64500" w:rsidRDefault="00E64500" w:rsidP="0063470B">
      <w:pPr>
        <w:spacing w:after="0"/>
      </w:pPr>
      <w:r>
        <w:separator/>
      </w:r>
    </w:p>
  </w:footnote>
  <w:footnote w:type="continuationSeparator" w:id="0">
    <w:p w14:paraId="3F10D526" w14:textId="77777777" w:rsidR="00E64500" w:rsidRDefault="00E64500" w:rsidP="006347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97"/>
    <w:rsid w:val="00035235"/>
    <w:rsid w:val="00070E50"/>
    <w:rsid w:val="000842A8"/>
    <w:rsid w:val="000D25D4"/>
    <w:rsid w:val="000E00D8"/>
    <w:rsid w:val="00152D20"/>
    <w:rsid w:val="00181A4D"/>
    <w:rsid w:val="001C7759"/>
    <w:rsid w:val="001F58BC"/>
    <w:rsid w:val="00201384"/>
    <w:rsid w:val="002161EC"/>
    <w:rsid w:val="00227A2E"/>
    <w:rsid w:val="0028145C"/>
    <w:rsid w:val="002B0D96"/>
    <w:rsid w:val="002E007E"/>
    <w:rsid w:val="003465A4"/>
    <w:rsid w:val="003928E0"/>
    <w:rsid w:val="003B0A6E"/>
    <w:rsid w:val="003C45FA"/>
    <w:rsid w:val="004264C7"/>
    <w:rsid w:val="00447542"/>
    <w:rsid w:val="00464A80"/>
    <w:rsid w:val="004851BF"/>
    <w:rsid w:val="004B2700"/>
    <w:rsid w:val="00522B64"/>
    <w:rsid w:val="00533107"/>
    <w:rsid w:val="0055487F"/>
    <w:rsid w:val="00586F41"/>
    <w:rsid w:val="00587638"/>
    <w:rsid w:val="005D24FB"/>
    <w:rsid w:val="005E48C1"/>
    <w:rsid w:val="005F03EB"/>
    <w:rsid w:val="00600D91"/>
    <w:rsid w:val="0063391A"/>
    <w:rsid w:val="0063470B"/>
    <w:rsid w:val="0066686F"/>
    <w:rsid w:val="006B5DA5"/>
    <w:rsid w:val="006D4BBB"/>
    <w:rsid w:val="006F18D8"/>
    <w:rsid w:val="00703B7A"/>
    <w:rsid w:val="00763A55"/>
    <w:rsid w:val="007877F4"/>
    <w:rsid w:val="0079659A"/>
    <w:rsid w:val="008110A6"/>
    <w:rsid w:val="00825F5F"/>
    <w:rsid w:val="0087048E"/>
    <w:rsid w:val="0087384C"/>
    <w:rsid w:val="00883E40"/>
    <w:rsid w:val="008C3BDE"/>
    <w:rsid w:val="00925229"/>
    <w:rsid w:val="00954B56"/>
    <w:rsid w:val="009573BA"/>
    <w:rsid w:val="00983B60"/>
    <w:rsid w:val="009E0097"/>
    <w:rsid w:val="00AF11C2"/>
    <w:rsid w:val="00B26BE9"/>
    <w:rsid w:val="00B339AA"/>
    <w:rsid w:val="00B67AF0"/>
    <w:rsid w:val="00BC68FA"/>
    <w:rsid w:val="00C16D2F"/>
    <w:rsid w:val="00C45BFD"/>
    <w:rsid w:val="00C632B2"/>
    <w:rsid w:val="00CA6824"/>
    <w:rsid w:val="00CC6D2A"/>
    <w:rsid w:val="00DE4D2F"/>
    <w:rsid w:val="00E25ABC"/>
    <w:rsid w:val="00E64500"/>
    <w:rsid w:val="00F517D5"/>
    <w:rsid w:val="00F531D3"/>
    <w:rsid w:val="00FC2D6F"/>
    <w:rsid w:val="00FD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25A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097"/>
    <w:pPr>
      <w:spacing w:after="200" w:line="240" w:lineRule="auto"/>
      <w:jc w:val="right"/>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09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E0097"/>
    <w:rPr>
      <w:sz w:val="16"/>
      <w:szCs w:val="16"/>
    </w:rPr>
  </w:style>
  <w:style w:type="paragraph" w:styleId="CommentText">
    <w:name w:val="annotation text"/>
    <w:basedOn w:val="Normal"/>
    <w:link w:val="CommentTextChar"/>
    <w:uiPriority w:val="99"/>
    <w:semiHidden/>
    <w:unhideWhenUsed/>
    <w:rsid w:val="009E0097"/>
    <w:rPr>
      <w:sz w:val="20"/>
      <w:szCs w:val="20"/>
    </w:rPr>
  </w:style>
  <w:style w:type="character" w:customStyle="1" w:styleId="CommentTextChar">
    <w:name w:val="Comment Text Char"/>
    <w:basedOn w:val="DefaultParagraphFont"/>
    <w:link w:val="CommentText"/>
    <w:uiPriority w:val="99"/>
    <w:semiHidden/>
    <w:rsid w:val="009E0097"/>
    <w:rPr>
      <w:rFonts w:ascii="Arial" w:hAnsi="Arial" w:cs="Arial"/>
      <w:sz w:val="20"/>
      <w:szCs w:val="20"/>
    </w:rPr>
  </w:style>
  <w:style w:type="paragraph" w:styleId="BalloonText">
    <w:name w:val="Balloon Text"/>
    <w:basedOn w:val="Normal"/>
    <w:link w:val="BalloonTextChar"/>
    <w:uiPriority w:val="99"/>
    <w:semiHidden/>
    <w:unhideWhenUsed/>
    <w:rsid w:val="009E00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97"/>
    <w:rPr>
      <w:rFonts w:ascii="Segoe UI" w:hAnsi="Segoe UI" w:cs="Segoe UI"/>
      <w:sz w:val="18"/>
      <w:szCs w:val="18"/>
    </w:rPr>
  </w:style>
  <w:style w:type="paragraph" w:styleId="Header">
    <w:name w:val="header"/>
    <w:basedOn w:val="Normal"/>
    <w:link w:val="HeaderChar"/>
    <w:uiPriority w:val="99"/>
    <w:unhideWhenUsed/>
    <w:rsid w:val="0063470B"/>
    <w:pPr>
      <w:tabs>
        <w:tab w:val="center" w:pos="4513"/>
        <w:tab w:val="right" w:pos="9026"/>
      </w:tabs>
      <w:spacing w:after="0"/>
    </w:pPr>
  </w:style>
  <w:style w:type="character" w:customStyle="1" w:styleId="HeaderChar">
    <w:name w:val="Header Char"/>
    <w:basedOn w:val="DefaultParagraphFont"/>
    <w:link w:val="Header"/>
    <w:uiPriority w:val="99"/>
    <w:rsid w:val="0063470B"/>
    <w:rPr>
      <w:rFonts w:ascii="Arial" w:hAnsi="Arial" w:cs="Arial"/>
      <w:sz w:val="24"/>
      <w:szCs w:val="24"/>
    </w:rPr>
  </w:style>
  <w:style w:type="paragraph" w:styleId="Footer">
    <w:name w:val="footer"/>
    <w:basedOn w:val="Normal"/>
    <w:link w:val="FooterChar"/>
    <w:uiPriority w:val="99"/>
    <w:unhideWhenUsed/>
    <w:rsid w:val="0063470B"/>
    <w:pPr>
      <w:tabs>
        <w:tab w:val="center" w:pos="4513"/>
        <w:tab w:val="right" w:pos="9026"/>
      </w:tabs>
      <w:spacing w:after="0"/>
    </w:pPr>
  </w:style>
  <w:style w:type="character" w:customStyle="1" w:styleId="FooterChar">
    <w:name w:val="Footer Char"/>
    <w:basedOn w:val="DefaultParagraphFont"/>
    <w:link w:val="Footer"/>
    <w:uiPriority w:val="99"/>
    <w:rsid w:val="0063470B"/>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5F03EB"/>
    <w:rPr>
      <w:b/>
      <w:bCs/>
    </w:rPr>
  </w:style>
  <w:style w:type="character" w:customStyle="1" w:styleId="CommentSubjectChar">
    <w:name w:val="Comment Subject Char"/>
    <w:basedOn w:val="CommentTextChar"/>
    <w:link w:val="CommentSubject"/>
    <w:uiPriority w:val="99"/>
    <w:semiHidden/>
    <w:rsid w:val="005F03EB"/>
    <w:rPr>
      <w:rFonts w:ascii="Arial" w:hAnsi="Arial" w:cs="Arial"/>
      <w:b/>
      <w:bCs/>
      <w:sz w:val="20"/>
      <w:szCs w:val="20"/>
    </w:rPr>
  </w:style>
  <w:style w:type="character" w:styleId="LineNumber">
    <w:name w:val="line number"/>
    <w:basedOn w:val="DefaultParagraphFont"/>
    <w:uiPriority w:val="99"/>
    <w:semiHidden/>
    <w:unhideWhenUsed/>
    <w:rsid w:val="0098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721526">
      <w:bodyDiv w:val="1"/>
      <w:marLeft w:val="0"/>
      <w:marRight w:val="0"/>
      <w:marTop w:val="0"/>
      <w:marBottom w:val="0"/>
      <w:divBdr>
        <w:top w:val="none" w:sz="0" w:space="0" w:color="auto"/>
        <w:left w:val="none" w:sz="0" w:space="0" w:color="auto"/>
        <w:bottom w:val="none" w:sz="0" w:space="0" w:color="auto"/>
        <w:right w:val="none" w:sz="0" w:space="0" w:color="auto"/>
      </w:divBdr>
    </w:div>
    <w:div w:id="1052845859">
      <w:bodyDiv w:val="1"/>
      <w:marLeft w:val="0"/>
      <w:marRight w:val="0"/>
      <w:marTop w:val="0"/>
      <w:marBottom w:val="0"/>
      <w:divBdr>
        <w:top w:val="none" w:sz="0" w:space="0" w:color="auto"/>
        <w:left w:val="none" w:sz="0" w:space="0" w:color="auto"/>
        <w:bottom w:val="none" w:sz="0" w:space="0" w:color="auto"/>
        <w:right w:val="none" w:sz="0" w:space="0" w:color="auto"/>
      </w:divBdr>
    </w:div>
    <w:div w:id="20539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EDE53-7A42-424E-9521-4D5BBEBC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2019-10-14T09:58:00Z</dcterms:created>
  <dcterms:modified xsi:type="dcterms:W3CDTF">2019-10-14T10:45:00Z</dcterms:modified>
</cp:coreProperties>
</file>